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160"/>
      </w:pPr>
      <w:r>
        <w:rPr>
          <w:rFonts w:ascii="Calibri" w:hAnsi="Calibri" w:eastAsia="Calibri"/>
          <w:b/>
          <w:color w:val="0F1116"/>
          <w:sz w:val="20"/>
        </w:rPr>
        <w:t>ЧЕК-ЛИСТ САЛЬДО</w:t>
      </w:r>
    </w:p>
    <w:p>
      <w:pPr>
        <w:keepNext/>
        <w:spacing w:after="160"/>
      </w:pPr>
      <w:r>
        <w:rPr>
          <w:rFonts w:ascii="Calibri" w:hAnsi="Calibri" w:eastAsia="Calibri"/>
          <w:b/>
          <w:color w:val="0F1116"/>
          <w:sz w:val="44"/>
        </w:rPr>
        <w:t>Раздел о цене и расчётах в договоре поставки: чек-лист</w:t>
      </w:r>
    </w:p>
    <w:p>
      <w:pPr>
        <w:spacing w:after="280"/>
      </w:pPr>
      <w:r>
        <w:rPr>
          <w:rFonts w:ascii="Calibri" w:hAnsi="Calibri" w:eastAsia="Calibri"/>
          <w:color w:val="6B7280"/>
          <w:sz w:val="22"/>
        </w:rPr>
        <w:t>Приложение к статье «Условия оплаты договора поставки: образец, срок и НДС» · saldio.ru/blog/dogovor-postavki-usloviya-oplaty</w:t>
      </w:r>
    </w:p>
    <w:p>
      <w:pPr>
        <w:spacing w:before="80" w:after="200" w:line="288" w:lineRule="auto"/>
        <w:ind w:left="173" w:right="173"/>
        <w:shd w:fill="F5F8FF"/>
      </w:pPr>
      <w:r>
        <w:rPr>
          <w:rFonts w:ascii="Calibri" w:hAnsi="Calibri" w:eastAsia="Calibri"/>
          <w:b/>
          <w:color w:val="0F1116"/>
          <w:sz w:val="21"/>
        </w:rPr>
        <w:t xml:space="preserve">Как пользоваться: </w:t>
      </w:r>
      <w:r>
        <w:rPr>
          <w:rFonts w:ascii="Calibri" w:hAnsi="Calibri" w:eastAsia="Calibri"/>
          <w:color w:val="3A4250"/>
          <w:sz w:val="21"/>
        </w:rPr>
        <w:t>Положите рядом договор, спецификации и шаблон счёта. Заполните шапку и пройдите таблицы по порядку. В каждой строке обведите отметку: «норма» — красного флага нет, «риск» — флаг есть, «н/д» — строка не относится к договору. Каждый «риск» перенесите в блок «Решение»: какой пункт изменить и как.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400"/>
        <w:gridCol w:w="6960"/>
      </w:tblGrid>
      <w:tr>
        <w:trPr>
          <w:tblHeader w:val="true"/>
        </w:trPr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Параметр</w:t>
            </w:r>
          </w:p>
        </w:tc>
        <w:tc>
          <w:tcPr>
            <w:tcW w:type="dxa" w:w="69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Значение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Договор</w:t>
            </w:r>
          </w:p>
        </w:tc>
        <w:tc>
          <w:tcPr>
            <w:tcW w:type="dxa" w:w="6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№ ________ от __.__.____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Поставщик</w:t>
            </w:r>
          </w:p>
        </w:tc>
        <w:tc>
          <w:tcPr>
            <w:tcW w:type="dxa" w:w="6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________________________________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Покупатель</w:t>
            </w:r>
          </w:p>
        </w:tc>
        <w:tc>
          <w:tcPr>
            <w:tcW w:type="dxa" w:w="6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________________________________ · ИНН ____________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Чья редакция</w:t>
            </w:r>
          </w:p>
        </w:tc>
        <w:tc>
          <w:tcPr>
            <w:tcW w:type="dxa" w:w="6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☐ наша ☐ покупателя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Кто проверил</w:t>
            </w:r>
          </w:p>
        </w:tc>
        <w:tc>
          <w:tcPr>
            <w:tcW w:type="dxa" w:w="6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Должность, ФИО: ________________________</w:t>
            </w:r>
          </w:p>
        </w:tc>
      </w:tr>
      <w:tr>
        <w:tc>
          <w:tcPr>
            <w:tcW w:type="dxa" w:w="2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Дата проверки</w:t>
            </w:r>
          </w:p>
        </w:tc>
        <w:tc>
          <w:tcPr>
            <w:tcW w:type="dxa" w:w="6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1. Цена и НДС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200"/>
        <w:gridCol w:w="2560"/>
        <w:gridCol w:w="3100"/>
        <w:gridCol w:w="1500"/>
      </w:tblGrid>
      <w:tr>
        <w:trPr>
          <w:tblHeader w:val="true"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Что проверить</w:t>
            </w:r>
          </w:p>
        </w:tc>
        <w:tc>
          <w:tcPr>
            <w:tcW w:type="dxa" w:w="25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Где</w:t>
            </w:r>
          </w:p>
        </w:tc>
        <w:tc>
          <w:tcPr>
            <w:tcW w:type="dxa" w:w="31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Красный флаг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Отметка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Цена партии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 о цене, спецификация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Цены нет ни в договоре, ни в спецификации, и вывести её из их условий нельзя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Как указан НДС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 о цене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Не сказано, входит ли НДС в цену: тогда налог выделят из согласованной суммы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Ставка НДС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 о цене, спецификация, шаблон счёта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Для отгрузок 2026 года стоит 20% или ставка, которую поставщик не применяет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Налоговая оговорка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 о цене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Не сказано, что будет с ценой, если изменится ставка или поставщик начнёт платить НДС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Цена в валюте или у. е.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 о цене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Нет курса и даты пересчёта в рубли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2. Схема расчётов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200"/>
        <w:gridCol w:w="2560"/>
        <w:gridCol w:w="3100"/>
        <w:gridCol w:w="1500"/>
      </w:tblGrid>
      <w:tr>
        <w:trPr>
          <w:tblHeader w:val="true"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Что проверить</w:t>
            </w:r>
          </w:p>
        </w:tc>
        <w:tc>
          <w:tcPr>
            <w:tcW w:type="dxa" w:w="25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Где</w:t>
            </w:r>
          </w:p>
        </w:tc>
        <w:tc>
          <w:tcPr>
            <w:tcW w:type="dxa" w:w="31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Красный флаг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Отметка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Какая схема выбрана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 об оплате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Схема не названа или в разных пунктах описана по-разному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Доли платежей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 об оплате, спецификация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Доли не дают в сумме 100% или не сказано, от какой суммы их считать — с НДС или без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Рассрочка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 об оплате, график платежей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Нет порядка, сроков или размера хотя бы одного платежа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Отгрузка при предоплате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 об оплате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Не сказано, что партия уходит после поступления предоплаты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Проценты за отсрочку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 об оплате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Не сказано, начисляются ли проценты на цену со дня передачи товара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3. Срок оплаты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200"/>
        <w:gridCol w:w="2560"/>
        <w:gridCol w:w="3100"/>
        <w:gridCol w:w="1500"/>
      </w:tblGrid>
      <w:tr>
        <w:trPr>
          <w:tblHeader w:val="true"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Что проверить</w:t>
            </w:r>
          </w:p>
        </w:tc>
        <w:tc>
          <w:tcPr>
            <w:tcW w:type="dxa" w:w="25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Где</w:t>
            </w:r>
          </w:p>
        </w:tc>
        <w:tc>
          <w:tcPr>
            <w:tcW w:type="dxa" w:w="31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Красный флаг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Отметка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Срок каждого платежа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 об оплате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У платежа нет срока, и действует общее правило ГК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Событие отсчёта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 об оплате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Срок идёт от события, которое может не наступить: продажи товара, оплаты от клиента покупателя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Кто управляет событием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Разделы об оплате и о приёмке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Срок идёт от подписи покупателя или конца приёмки, а предельного срока для них нет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Вид дней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 об оплате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Не сказано, дни рабочие или календарные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Получатель и комплект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Разделы о поставке и об оплате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Платит получатель или товар поставляют частями комплекта, а порядок оплаты для этого не прописан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4. Форма и день оплаты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200"/>
        <w:gridCol w:w="2560"/>
        <w:gridCol w:w="3100"/>
        <w:gridCol w:w="1500"/>
      </w:tblGrid>
      <w:tr>
        <w:trPr>
          <w:tblHeader w:val="true"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Что проверить</w:t>
            </w:r>
          </w:p>
        </w:tc>
        <w:tc>
          <w:tcPr>
            <w:tcW w:type="dxa" w:w="25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Где</w:t>
            </w:r>
          </w:p>
        </w:tc>
        <w:tc>
          <w:tcPr>
            <w:tcW w:type="dxa" w:w="31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Красный флаг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Отметка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Способы оплаты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 об оплате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Покупатель будет платить по ссылке, через СБП или картой, а договор называет только платёжное поручение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День оплаты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 об оплате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Не сказано, что считается днём оплаты, или днём оплаты назван день списания со счёта покупателя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Оплата через сервис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 об оплате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Покупатель платит через платёжный сервис, а день оплаты для такого платежа не определён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Реквизиты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Реквизиты сторон, шаблон счёта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Расчётный счёт поставщика в договоре и в счёте не совпадает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5. Ответственность за просрочку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200"/>
        <w:gridCol w:w="2560"/>
        <w:gridCol w:w="3100"/>
        <w:gridCol w:w="1500"/>
      </w:tblGrid>
      <w:tr>
        <w:trPr>
          <w:tblHeader w:val="true"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Что проверить</w:t>
            </w:r>
          </w:p>
        </w:tc>
        <w:tc>
          <w:tcPr>
            <w:tcW w:type="dxa" w:w="25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Где</w:t>
            </w:r>
          </w:p>
        </w:tc>
        <w:tc>
          <w:tcPr>
            <w:tcW w:type="dxa" w:w="31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Красный флаг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Отметка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Неустойка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 об ответственности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Неустойки нет ни в договоре, ни в дополнительном соглашении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Ставка и база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 об ответственности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Ставка без базы («0,1% в день» — от какой суммы?)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Неустойка и проценты по ст. 395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 об ответственности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Нужны и пени, и проценты по ст. 395 ГК РФ, а договор этого прямо не говорит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Приостановка отгрузки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Разделы о поставке и об оплате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Договор обязывает отгружать следующие партии, даже если прошлые не оплачены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Переход на предоплату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 об оплате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Нет права перевести покупателя на предоплату после просрочки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6. Изменения и счёт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200"/>
        <w:gridCol w:w="2560"/>
        <w:gridCol w:w="3100"/>
        <w:gridCol w:w="1500"/>
      </w:tblGrid>
      <w:tr>
        <w:trPr>
          <w:tblHeader w:val="true"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Что проверить</w:t>
            </w:r>
          </w:p>
        </w:tc>
        <w:tc>
          <w:tcPr>
            <w:tcW w:type="dxa" w:w="25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Где</w:t>
            </w:r>
          </w:p>
        </w:tc>
        <w:tc>
          <w:tcPr>
            <w:tcW w:type="dxa" w:w="31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Красный флаг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Отметка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Главный документ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Договор, спецификации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Условия оплаты в спецификации расходятся с договором, и не сказано, что главнее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Порядок изменения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Раздел об изменении договора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Срок или цену можно поменять письмом или счётом без дополнительного соглашения, и договор не называет, в каких случаях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Что переносят в счёт</w:t>
            </w:r>
          </w:p>
        </w:tc>
        <w:tc>
          <w:tcPr>
            <w:tcW w:type="dxa" w:w="2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Шаблон счёта</w:t>
            </w:r>
          </w:p>
        </w:tc>
        <w:tc>
          <w:tcPr>
            <w:tcW w:type="dxa" w:w="31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В счёте нет номера договора, суммы НДС или срока оплаты, посчитанного по договору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норма / риск / н/д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Решение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200"/>
        <w:gridCol w:w="7160"/>
      </w:tblGrid>
      <w:tr>
        <w:trPr>
          <w:tblHeader w:val="true"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Поле</w:t>
            </w:r>
          </w:p>
        </w:tc>
        <w:tc>
          <w:tcPr>
            <w:tcW w:type="dxa" w:w="71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Заполнить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Итог проверки</w:t>
            </w:r>
          </w:p>
        </w:tc>
        <w:tc>
          <w:tcPr>
            <w:tcW w:type="dxa" w:w="7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☐ подписать как есть ☐ подписать с протоколом разногласий ☐ вернуть на доработку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Что изменить</w:t>
            </w:r>
          </w:p>
        </w:tc>
        <w:tc>
          <w:tcPr>
            <w:tcW w:type="dxa" w:w="7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Пункт и новая редакция: ____________________________________________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Схема и срок для счетов</w:t>
            </w:r>
          </w:p>
        </w:tc>
        <w:tc>
          <w:tcPr>
            <w:tcW w:type="dxa" w:w="7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☐ предоплата ☐ отсрочка ☐ рассрочка ☐ смешанная · срок ____ дней (☐ календарных ☐ рабочих) от ________________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День оплаты</w:t>
            </w:r>
          </w:p>
        </w:tc>
        <w:tc>
          <w:tcPr>
            <w:tcW w:type="dxa" w:w="7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☐ зачисление на корсчёт банка поставщика ☐ зачисление на расчётный счёт поставщика ☐ другое: ____________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НДС в цене</w:t>
            </w:r>
          </w:p>
        </w:tc>
        <w:tc>
          <w:tcPr>
            <w:tcW w:type="dxa" w:w="7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☐ сверх цены ☐ в том числе ☐ без НДС, основание: ____________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Пени</w:t>
            </w:r>
          </w:p>
        </w:tc>
        <w:tc>
          <w:tcPr>
            <w:tcW w:type="dxa" w:w="7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 % в день от неоплаченной суммы, предел ____ % ☐ без предела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Пересмотреть</w:t>
            </w:r>
          </w:p>
        </w:tc>
        <w:tc>
          <w:tcPr>
            <w:tcW w:type="dxa" w:w="71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при изменении ставки НДС или налогового статуса, после второй просрочки покупателя или до __.__.____</w:t>
            </w:r>
          </w:p>
        </w:tc>
      </w:tr>
    </w:tbl>
    <w:p>
      <w:pPr>
        <w:spacing w:after="20"/>
      </w:pP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6" w:color="D8DEE8"/>
          <w:left w:val="single" w:sz="6" w:color="D8DEE8"/>
          <w:bottom w:val="single" w:sz="6" w:color="D8DEE8"/>
          <w:right w:val="single" w:sz="6" w:color="D8DEE8"/>
          <w:insideH w:val="single" w:sz="6" w:color="D8DEE8"/>
          <w:insideV w:val="single" w:sz="6" w:color="D8DEE8"/>
        </w:tblBorders>
      </w:tblPr>
      <w:tblGrid>
        <w:gridCol w:w="2000"/>
        <w:gridCol w:w="3560"/>
        <w:gridCol w:w="1900"/>
        <w:gridCol w:w="1900"/>
      </w:tblGrid>
      <w:tr>
        <w:trPr>
          <w:tblHeader w:val="true"/>
        </w:trPr>
        <w:tc>
          <w:tcPr>
            <w:tcW w:type="dxa" w:w="20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Роль</w:t>
            </w:r>
          </w:p>
        </w:tc>
        <w:tc>
          <w:tcPr>
            <w:tcW w:type="dxa" w:w="356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ФИО, должность</w:t>
            </w:r>
          </w:p>
        </w:tc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Подпись</w:t>
            </w:r>
          </w:p>
        </w:tc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shd w:fill="E8EEF5"/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19"/>
              </w:rPr>
              <w:t>Дата</w:t>
            </w:r>
          </w:p>
        </w:tc>
      </w:tr>
      <w:tr>
        <w:tc>
          <w:tcPr>
            <w:tcW w:type="dxa" w:w="20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Проверил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</w:tr>
      <w:tr>
        <w:tc>
          <w:tcPr>
            <w:tcW w:type="dxa" w:w="20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Согласовал</w:t>
            </w:r>
          </w:p>
        </w:tc>
        <w:tc>
          <w:tcPr>
            <w:tcW w:type="dxa" w:w="35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________________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________</w:t>
            </w:r>
          </w:p>
        </w:tc>
        <w:tc>
          <w:tcPr>
            <w:tcW w:type="dxa" w:w="1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3A4250"/>
                <w:sz w:val="18"/>
              </w:rPr>
              <w:t>__.__.____</w:t>
            </w:r>
          </w:p>
        </w:tc>
      </w:tr>
    </w:tbl>
    <w:p>
      <w:pPr>
        <w:spacing w:after="20"/>
      </w:pPr>
    </w:p>
    <w:p>
      <w:pPr>
        <w:spacing w:before="80" w:after="200" w:line="288" w:lineRule="auto"/>
        <w:ind w:left="173" w:right="173"/>
        <w:shd w:fill="F5F8FF"/>
      </w:pPr>
      <w:r>
        <w:rPr>
          <w:rFonts w:ascii="Calibri" w:hAnsi="Calibri" w:eastAsia="Calibri"/>
          <w:b/>
          <w:color w:val="0F1116"/>
          <w:sz w:val="21"/>
        </w:rPr>
        <w:t xml:space="preserve">Перед подписанием: </w:t>
      </w:r>
      <w:r>
        <w:rPr>
          <w:rFonts w:ascii="Calibri" w:hAnsi="Calibri" w:eastAsia="Calibri"/>
          <w:color w:val="3A4250"/>
          <w:sz w:val="21"/>
        </w:rPr>
        <w:t>Новую редакцию пунктов согласуйте с юристом до отправки покупателю. Сроки, день оплаты и пени в договоре должны совпадать с тем, как вы выставляете счета и считаете просрочку.</w:t>
      </w:r>
    </w:p>
    <w:p>
      <w:pPr>
        <w:spacing w:before="80" w:after="200" w:line="288" w:lineRule="auto"/>
        <w:ind w:left="173" w:right="173"/>
        <w:shd w:fill="F5F8FF"/>
      </w:pPr>
      <w:r>
        <w:rPr>
          <w:rFonts w:ascii="Calibri" w:hAnsi="Calibri" w:eastAsia="Calibri"/>
          <w:b/>
          <w:color w:val="0F1116"/>
          <w:sz w:val="21"/>
        </w:rPr>
        <w:t xml:space="preserve">О Сальдо: </w:t>
      </w:r>
      <w:r>
        <w:rPr>
          <w:rFonts w:ascii="Calibri" w:hAnsi="Calibri" w:eastAsia="Calibri"/>
          <w:color w:val="3A4250"/>
          <w:sz w:val="21"/>
        </w:rPr>
        <w:t>Срок оплаты по договору переносят в каждый счёт. В Сальдо счёт выставляют по ИНН покупателя со сроком оплаты и ссылкой на оплату, а напоминания уходят покупателю заранее и после срока. Подробнее: saldio.ru/schet-na-oplatu-online</w:t>
      </w:r>
    </w:p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3A425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F111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F11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F111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о цене и расчётах в договоре поставки: чек-лист</dc:title>
  <dc:subject>Редактируемый чек-лист Сальдо</dc:subject>
  <dc:creator>Сальдо</dc:creator>
  <cp:keywords>условия оплаты, договор поставки, срок оплаты, НДС в цене, неустойка, чек-лист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